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bidi w:val="0"/>
      </w:pPr>
      <w:r>
        <w:rPr>
          <w:rtl w:val="0"/>
        </w:rPr>
        <w:t>Fra</w:t>
      </w:r>
      <w:r>
        <w:rPr>
          <w:rtl w:val="0"/>
          <w:lang w:val="en-US"/>
        </w:rPr>
        <w:t xml:space="preserve">ud Control </w:t>
      </w:r>
      <w:r>
        <w:rPr>
          <w:rtl w:val="0"/>
        </w:rPr>
        <w:t xml:space="preserve">Plan </w:t>
      </w:r>
    </w:p>
    <w:p>
      <w:pPr>
        <w:pStyle w:val="Caption"/>
        <w:bidi w:val="0"/>
      </w:pPr>
      <w:r>
        <w:rPr>
          <w:rtl w:val="0"/>
        </w:rPr>
        <w:t>Linette Colon</w:t>
      </w:r>
    </w:p>
    <w:p>
      <w:pPr>
        <w:pStyle w:val="Caption"/>
        <w:rPr>
          <w:outline w:val="0"/>
          <w:color w:val="d5d5d5"/>
          <w:sz w:val="16"/>
          <w:szCs w:val="16"/>
          <w14:textFill>
            <w14:solidFill>
              <w14:srgbClr w14:val="D5D5D5"/>
            </w14:solidFill>
          </w14:textFill>
        </w:rPr>
      </w:pPr>
      <w:r>
        <w:rPr>
          <w:outline w:val="0"/>
          <w:color w:val="d5d5d5"/>
          <w:sz w:val="16"/>
          <w:szCs w:val="16"/>
          <w:rtl w:val="0"/>
          <w:lang w:val="en-US"/>
          <w14:textFill>
            <w14:solidFill>
              <w14:srgbClr w14:val="D5D5D5"/>
            </w14:solidFill>
          </w14:textFill>
        </w:rPr>
        <w:t>Business Manager</w:t>
      </w:r>
      <w:r>
        <w:rPr>
          <w:outline w:val="0"/>
          <w:color w:val="d5d5d5"/>
          <w:sz w:val="16"/>
          <w:szCs w:val="16"/>
          <w:rtl w:val="0"/>
          <w:lang w:val="en-US"/>
          <w14:textFill>
            <w14:solidFill>
              <w14:srgbClr w14:val="D5D5D5"/>
            </w14:solidFill>
          </w14:textFill>
        </w:rPr>
        <w:t>—</w:t>
      </w:r>
      <w:r>
        <w:rPr>
          <w:outline w:val="0"/>
          <w:color w:val="d5d5d5"/>
          <w:sz w:val="16"/>
          <w:szCs w:val="16"/>
          <w:rtl w:val="0"/>
          <w:lang w:val="en-US"/>
          <w14:textFill>
            <w14:solidFill>
              <w14:srgbClr w14:val="D5D5D5"/>
            </w14:solidFill>
          </w14:textFill>
        </w:rPr>
        <w:t>Forest Lake Education Center</w:t>
      </w:r>
    </w:p>
    <w:p>
      <w:pPr>
        <w:pStyle w:val="Body"/>
        <w:bidi w:val="0"/>
      </w:pPr>
    </w:p>
    <w:p>
      <w:pPr>
        <w:pStyle w:val="Body"/>
        <w:bidi w:val="0"/>
      </w:pPr>
    </w:p>
    <w:p>
      <w:pPr>
        <w:pStyle w:val="Heading 3"/>
        <w:bidi w:val="0"/>
      </w:pPr>
      <w:r>
        <w:rPr>
          <w:rtl w:val="0"/>
        </w:rPr>
        <w:t>1. Introduction</w:t>
      </w:r>
    </w:p>
    <w:p>
      <w:pPr>
        <w:pStyle w:val="Heading 4"/>
        <w:bidi w:val="0"/>
      </w:pPr>
      <w:r>
        <w:rPr>
          <w:rtl w:val="0"/>
        </w:rPr>
        <w:t>1.1 Commitment to fraud control</w:t>
      </w:r>
    </w:p>
    <w:p>
      <w:pPr>
        <w:pStyle w:val="Body Indent"/>
        <w:bidi w:val="0"/>
      </w:pPr>
      <w:r>
        <w:rPr>
          <w:rtl w:val="0"/>
        </w:rPr>
        <w:t xml:space="preserve">Forest Lake Education Center (FLEC) recognizes that it has a responsibility to develop, encourage and implement sound financial, legal, and ethical decision-making and organizational practices. This Fraud Control Plan represents FLEC's commitment to effective fraud risk management and prevention. </w:t>
      </w:r>
    </w:p>
    <w:p>
      <w:pPr>
        <w:pStyle w:val="Heading 4"/>
        <w:bidi w:val="0"/>
      </w:pPr>
      <w:r>
        <w:rPr>
          <w:rtl w:val="0"/>
        </w:rPr>
        <w:t>1.2 Application of Fraud Control Plan</w:t>
      </w:r>
    </w:p>
    <w:p>
      <w:pPr>
        <w:pStyle w:val="Body Indent"/>
        <w:bidi w:val="0"/>
      </w:pPr>
      <w:r>
        <w:rPr>
          <w:rtl w:val="0"/>
        </w:rPr>
        <w:t xml:space="preserve">This Fraud Control Plan represents FLEC's commitment to the management and prevention of fraud and consist of three major components: </w:t>
      </w:r>
    </w:p>
    <w:p>
      <w:pPr>
        <w:pStyle w:val="Body Indent"/>
        <w:bidi w:val="0"/>
      </w:pPr>
      <w:r>
        <w:rPr>
          <w:rtl w:val="0"/>
        </w:rPr>
        <w:t>* Prevention - initiatives to deter and minimize the opportunities for fraud.</w:t>
      </w:r>
    </w:p>
    <w:p>
      <w:pPr>
        <w:pStyle w:val="Body Indent"/>
        <w:bidi w:val="0"/>
      </w:pPr>
      <w:r>
        <w:rPr>
          <w:rtl w:val="0"/>
        </w:rPr>
        <w:t xml:space="preserve">* Detection - initiatives to detect fraud as soon as possible after it occurs; and </w:t>
      </w:r>
    </w:p>
    <w:p>
      <w:pPr>
        <w:pStyle w:val="Body Indent"/>
        <w:bidi w:val="0"/>
      </w:pPr>
      <w:r>
        <w:rPr>
          <w:rtl w:val="0"/>
        </w:rPr>
        <w:t>* Response - initiatives to deal with detected or suspected fraud.</w:t>
      </w:r>
    </w:p>
    <w:p>
      <w:pPr>
        <w:pStyle w:val="Heading 4"/>
        <w:bidi w:val="0"/>
      </w:pPr>
      <w:r>
        <w:rPr>
          <w:rtl w:val="0"/>
        </w:rPr>
        <w:t>1.3 Statement of attitude to fraud</w:t>
      </w:r>
    </w:p>
    <w:p>
      <w:pPr>
        <w:pStyle w:val="Body Indent"/>
        <w:bidi w:val="0"/>
      </w:pPr>
      <w:r>
        <w:rPr>
          <w:rtl w:val="0"/>
        </w:rPr>
        <w:t>Fraud has the potential to damage the reputation of FLEC and have a detrimental effect on the resources available to promote FLEC's objectives. Accordingly, FLEC has adopted a zero tolerance to fraud and is committed to minimizing the incidence of fraud through the development, implementation and regular review of fraud prevention, detection, and response strategies. Each strategy contributes to an environment where risk is managed, through sound internal controls, and ethical practices.</w:t>
      </w:r>
    </w:p>
    <w:p>
      <w:pPr>
        <w:pStyle w:val="Heading 3"/>
        <w:bidi w:val="0"/>
      </w:pPr>
      <w:r>
        <w:rPr>
          <w:rtl w:val="0"/>
        </w:rPr>
        <w:t>2. Prevention</w:t>
      </w:r>
    </w:p>
    <w:p>
      <w:pPr>
        <w:pStyle w:val="Heading 4"/>
        <w:bidi w:val="0"/>
      </w:pPr>
      <w:r>
        <w:rPr>
          <w:rtl w:val="0"/>
        </w:rPr>
        <w:t>2.1 Integrity framework</w:t>
      </w:r>
    </w:p>
    <w:p>
      <w:pPr>
        <w:pStyle w:val="Body Indent"/>
        <w:bidi w:val="0"/>
      </w:pPr>
      <w:r>
        <w:rPr>
          <w:rtl w:val="0"/>
        </w:rPr>
        <w:t xml:space="preserve">A fundamental strategy in controlling the risk of fraud is the development and maintenance of sound ethical culture, underpinned by effective and continuous communication and example-setting by management. </w:t>
      </w:r>
    </w:p>
    <w:p>
      <w:pPr>
        <w:pStyle w:val="Heading 4"/>
        <w:bidi w:val="0"/>
      </w:pPr>
      <w:r>
        <w:rPr>
          <w:rtl w:val="0"/>
        </w:rPr>
        <w:t>2.2 Fraud control planning</w:t>
      </w:r>
    </w:p>
    <w:p>
      <w:pPr>
        <w:pStyle w:val="Body Indent"/>
        <w:bidi w:val="0"/>
      </w:pPr>
      <w:r>
        <w:rPr>
          <w:rtl w:val="0"/>
        </w:rPr>
        <w:t xml:space="preserve">To maintain better practice in its fraud risk management practices, FLEC is committed to communicate regularly to all staff promoting compliance and adherence to the Fraud Control Policy. </w:t>
      </w:r>
    </w:p>
    <w:p>
      <w:pPr>
        <w:pStyle w:val="Heading 4"/>
        <w:bidi w:val="0"/>
      </w:pPr>
      <w:r>
        <w:rPr>
          <w:rtl w:val="0"/>
          <w:lang w:val="pt-PT"/>
        </w:rPr>
        <w:t>2.3 Internal control</w:t>
      </w:r>
    </w:p>
    <w:p>
      <w:pPr>
        <w:pStyle w:val="Body Indent"/>
        <w:bidi w:val="0"/>
      </w:pPr>
      <w:r>
        <w:rPr>
          <w:rtl w:val="0"/>
        </w:rPr>
        <w:t>Internal controls are often the first line of defense against fraud. FLEC will ensure the maintenance of a strong internal control system and the promotion and monitoring of robust internal control culture.</w:t>
      </w:r>
    </w:p>
    <w:p>
      <w:pPr>
        <w:pStyle w:val="Body"/>
        <w:bidi w:val="0"/>
      </w:pPr>
      <w:r>
        <w:rPr>
          <w:rtl w:val="0"/>
          <w:lang w:val="en-US"/>
        </w:rPr>
        <w:t>2.4 Pre-employment screening</w:t>
      </w:r>
    </w:p>
    <w:p>
      <w:pPr>
        <w:pStyle w:val="Body Indent"/>
        <w:bidi w:val="0"/>
      </w:pPr>
      <w:r>
        <w:rPr>
          <w:rtl w:val="0"/>
        </w:rPr>
        <w:t xml:space="preserve">Pre-employment screening is an effective means of preventing fraud, such as falsifying qualifications or employment history. It can also identify previous criminal convictions for offences of dishonesty. </w:t>
      </w:r>
    </w:p>
    <w:p>
      <w:pPr>
        <w:pStyle w:val="Heading 3"/>
        <w:bidi w:val="0"/>
      </w:pPr>
      <w:r>
        <w:rPr>
          <w:rtl w:val="0"/>
          <w:lang w:val="en-US"/>
        </w:rPr>
        <w:t>3. Detection</w:t>
      </w:r>
    </w:p>
    <w:p>
      <w:pPr>
        <w:pStyle w:val="Body"/>
        <w:bidi w:val="0"/>
      </w:pPr>
      <w:r>
        <w:rPr>
          <w:rtl w:val="0"/>
          <w:lang w:val="en-US"/>
        </w:rPr>
        <w:t xml:space="preserve">FLEC recognizes that, despite a comprehensive fraud control program, it is possible that fraud may occur. Accordingly, FLEC has adopted a program aimed at detecting fraud as soon as possible after it has occurred. </w:t>
      </w:r>
    </w:p>
    <w:p>
      <w:pPr>
        <w:pStyle w:val="Heading 4"/>
        <w:bidi w:val="0"/>
      </w:pPr>
      <w:r>
        <w:rPr>
          <w:rtl w:val="0"/>
        </w:rPr>
        <w:t>3.1 Identification of early warning signs</w:t>
      </w:r>
    </w:p>
    <w:p>
      <w:pPr>
        <w:pStyle w:val="Body Indent"/>
        <w:bidi w:val="0"/>
      </w:pPr>
      <w:r>
        <w:rPr>
          <w:rtl w:val="0"/>
        </w:rPr>
        <w:t>Identification and acting on early warning signs of fraudulent activity is an important part of early fraud detection. All staff should be aware of their responsibility to remain vigilant to identify and report any suspected fraudulent activity.</w:t>
      </w:r>
    </w:p>
    <w:p>
      <w:pPr>
        <w:pStyle w:val="Heading 4"/>
        <w:bidi w:val="0"/>
      </w:pPr>
      <w:r>
        <w:rPr>
          <w:rtl w:val="0"/>
        </w:rPr>
        <w:t>3.2 Reporting instances of fraud by employees</w:t>
      </w:r>
    </w:p>
    <w:p>
      <w:pPr>
        <w:pStyle w:val="Body Indent"/>
        <w:bidi w:val="0"/>
      </w:pPr>
      <w:r>
        <w:rPr>
          <w:rtl w:val="0"/>
        </w:rPr>
        <w:t>Staff who become aware of suspected fraudulent conduct are required to report the matter in accordance with this procedure. Staff are also required to maintain strict confidentiality on any suspected fraud matter of which they have knowledge. In the event of the allegation involving any of the following positions the matter should be referred directly to the principal.</w:t>
      </w:r>
    </w:p>
    <w:p>
      <w:pPr>
        <w:pStyle w:val="Heading 3"/>
        <w:bidi w:val="0"/>
      </w:pPr>
      <w:r>
        <w:rPr>
          <w:rtl w:val="0"/>
          <w:lang w:val="en-US"/>
        </w:rPr>
        <w:t>4. Response</w:t>
      </w:r>
    </w:p>
    <w:p>
      <w:pPr>
        <w:pStyle w:val="Heading 4"/>
        <w:bidi w:val="0"/>
      </w:pPr>
      <w:r>
        <w:rPr>
          <w:rtl w:val="0"/>
        </w:rPr>
        <w:t>4.1 Reviewing systems and procedures (post fraud)</w:t>
      </w:r>
    </w:p>
    <w:p>
      <w:pPr>
        <w:pStyle w:val="Body Indent"/>
        <w:bidi w:val="0"/>
      </w:pPr>
      <w:r>
        <w:rPr>
          <w:rtl w:val="0"/>
        </w:rPr>
        <w:t xml:space="preserve">In each instance where fraud is detected, FLEC will reassess the adequacy of the internal control environment (particularly those controls directly impacting on the fraud incident and potentially allowing it to occur), prepare an action plan and implement improvements where required. Where improvements are required, they will be implemented as soon as practicable. </w:t>
      </w:r>
    </w:p>
    <w:p>
      <w:pPr>
        <w:pStyle w:val="Heading 4"/>
        <w:bidi w:val="0"/>
      </w:pPr>
      <w:r>
        <w:rPr>
          <w:rtl w:val="0"/>
          <w:lang w:val="fr-FR"/>
        </w:rPr>
        <w:t>4.2 Communication protocol</w:t>
      </w:r>
    </w:p>
    <w:p>
      <w:pPr>
        <w:pStyle w:val="Body Indent"/>
        <w:bidi w:val="0"/>
      </w:pPr>
      <w:r>
        <w:rPr>
          <w:rtl w:val="0"/>
        </w:rPr>
        <w:t>Should fraud against FLEC be detected the following protocols must be applied. The principal will make all decisions on the appropriate communications protocol to be adopted.</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Light">
    <w:charset w:val="00"/>
    <w:family w:val="roman"/>
    <w:pitch w:val="default"/>
  </w:font>
  <w:font w:name="Helvetica Neue">
    <w:charset w:val="00"/>
    <w:family w:val="roman"/>
    <w:pitch w:val="default"/>
  </w:font>
  <w:font w:name="Helvetica Neue Medium">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Light" w:cs="Arial Unicode MS" w:hAnsi="Helvetica Neue Light" w:eastAsia="Arial Unicode MS"/>
      <w:b w:val="0"/>
      <w:bCs w:val="0"/>
      <w:i w:val="0"/>
      <w:iCs w:val="0"/>
      <w:caps w:val="0"/>
      <w:smallCaps w:val="0"/>
      <w:strike w:val="0"/>
      <w:dstrike w:val="0"/>
      <w:outline w:val="0"/>
      <w:color w:val="000000"/>
      <w:spacing w:val="0"/>
      <w:kern w:val="0"/>
      <w:position w:val="0"/>
      <w:sz w:val="60"/>
      <w:szCs w:val="60"/>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40" w:after="80" w:line="240" w:lineRule="auto"/>
      <w:ind w:left="36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Caption">
    <w:name w:val="Caption"/>
    <w:next w:val="Caption"/>
    <w:pPr>
      <w:keepNext w:val="0"/>
      <w:keepLines w:val="0"/>
      <w:pageBreakBefore w:val="0"/>
      <w:widowControl w:val="1"/>
      <w:shd w:val="clear" w:color="auto" w:fill="auto"/>
      <w:tabs>
        <w:tab w:val="left" w:pos="1150"/>
      </w:tabs>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1"/>
      <w:strike w:val="0"/>
      <w:dstrike w:val="0"/>
      <w:outline w:val="0"/>
      <w:color w:val="000000"/>
      <w:spacing w:val="0"/>
      <w:kern w:val="0"/>
      <w:position w:val="0"/>
      <w:sz w:val="20"/>
      <w:szCs w:val="20"/>
      <w:u w:val="none"/>
      <w:shd w:val="nil" w:color="auto" w:fill="auto"/>
      <w:vertAlign w:val="baseline"/>
      <w:lang w:val="it-IT"/>
      <w14:textOutline>
        <w14:noFill/>
      </w14:textOutline>
      <w14:textFill>
        <w14:solidFill>
          <w14:srgbClr w14:val="000000"/>
        </w14:solidFill>
      </w14:textFill>
    </w:rPr>
  </w:style>
  <w:style w:type="paragraph" w:styleId="Heading 3">
    <w:name w:val="Heading 3"/>
    <w:next w:val="Body"/>
    <w:pPr>
      <w:keepNext w:val="1"/>
      <w:keepLines w:val="0"/>
      <w:pageBreakBefore w:val="0"/>
      <w:widowControl w:val="1"/>
      <w:pBdr>
        <w:top w:val="nil"/>
        <w:left w:val="nil"/>
        <w:bottom w:val="single" w:color="515151" w:sz="4" w:space="0" w:shadow="0" w:frame="0"/>
        <w:right w:val="nil"/>
      </w:pBdr>
      <w:shd w:val="clear" w:color="auto" w:fill="auto"/>
      <w:suppressAutoHyphens w:val="0"/>
      <w:bidi w:val="0"/>
      <w:spacing w:before="360" w:after="120" w:line="288" w:lineRule="auto"/>
      <w:ind w:left="0" w:right="0" w:firstLine="0"/>
      <w:jc w:val="left"/>
      <w:outlineLvl w:val="0"/>
    </w:pPr>
    <w:rPr>
      <w:rFonts w:ascii="Helvetica Neue Medium" w:cs="Arial Unicode MS" w:hAnsi="Helvetica Neue Medium" w:eastAsia="Arial Unicode MS"/>
      <w:b w:val="0"/>
      <w:bCs w:val="0"/>
      <w:i w:val="0"/>
      <w:iCs w:val="0"/>
      <w:caps w:val="0"/>
      <w:smallCaps w:val="0"/>
      <w:strike w:val="0"/>
      <w:dstrike w:val="0"/>
      <w:outline w:val="0"/>
      <w:color w:val="5e5e5e"/>
      <w:spacing w:val="5"/>
      <w:kern w:val="0"/>
      <w:position w:val="0"/>
      <w:sz w:val="28"/>
      <w:szCs w:val="28"/>
      <w:u w:val="none"/>
      <w:shd w:val="nil" w:color="auto" w:fill="auto"/>
      <w:vertAlign w:val="baseline"/>
      <w:lang w:val="fr-FR"/>
      <w14:textOutline>
        <w14:noFill/>
      </w14:textOutline>
      <w14:textFill>
        <w14:solidFill>
          <w14:srgbClr w14:val="5E5E5E"/>
        </w14:solidFill>
      </w14:textFill>
    </w:rPr>
  </w:style>
  <w:style w:type="paragraph" w:styleId="Heading 4">
    <w:name w:val="Heading 4"/>
    <w:next w:val="Heading 4"/>
    <w:pPr>
      <w:keepNext w:val="0"/>
      <w:keepLines w:val="0"/>
      <w:pageBreakBefore w:val="0"/>
      <w:widowControl w:val="1"/>
      <w:shd w:val="clear" w:color="auto" w:fill="auto"/>
      <w:suppressAutoHyphens w:val="0"/>
      <w:bidi w:val="0"/>
      <w:spacing w:before="180" w:after="140" w:line="240" w:lineRule="auto"/>
      <w:ind w:left="360" w:right="0" w:firstLine="0"/>
      <w:jc w:val="left"/>
      <w:outlineLvl w:val="9"/>
    </w:pPr>
    <w:rPr>
      <w:rFonts w:ascii="Arial" w:cs="Arial Unicode MS" w:hAnsi="Arial" w:eastAsia="Arial Unicode MS"/>
      <w:b w:val="0"/>
      <w:bCs w:val="0"/>
      <w:i w:val="0"/>
      <w:iCs w:val="0"/>
      <w:caps w:val="1"/>
      <w:strike w:val="0"/>
      <w:dstrike w:val="0"/>
      <w:outline w:val="0"/>
      <w:color w:val="56c1fe"/>
      <w:spacing w:val="0"/>
      <w:kern w:val="0"/>
      <w:position w:val="0"/>
      <w:sz w:val="22"/>
      <w:szCs w:val="22"/>
      <w:u w:val="none"/>
      <w:shd w:val="nil" w:color="auto" w:fill="auto"/>
      <w:vertAlign w:val="baseline"/>
      <w:lang w:val="en-US"/>
      <w14:textOutline>
        <w14:noFill/>
      </w14:textOutline>
      <w14:textFill>
        <w14:solidFill>
          <w14:srgbClr w14:val="56C1FF"/>
        </w14:solidFill>
      </w14:textFill>
    </w:rPr>
  </w:style>
  <w:style w:type="paragraph" w:styleId="Body Indent">
    <w:name w:val="Body Indent"/>
    <w:next w:val="Body Indent"/>
    <w:pPr>
      <w:keepNext w:val="0"/>
      <w:keepLines w:val="0"/>
      <w:pageBreakBefore w:val="0"/>
      <w:widowControl w:val="1"/>
      <w:shd w:val="clear" w:color="auto" w:fill="auto"/>
      <w:suppressAutoHyphens w:val="0"/>
      <w:bidi w:val="0"/>
      <w:spacing w:before="40" w:after="80" w:line="288" w:lineRule="auto"/>
      <w:ind w:left="720" w:right="0" w:firstLine="0"/>
      <w:jc w:val="left"/>
      <w:outlineLvl w:val="9"/>
    </w:pPr>
    <w:rPr>
      <w:rFonts w:ascii="Helvetica Neue Light" w:cs="Arial Unicode MS" w:hAnsi="Helvetica Neue Light"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Light"/>
        <a:ea typeface="Helvetica Neue Light"/>
        <a:cs typeface="Helvetica Neue Light"/>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228600" marR="0" indent="0" algn="l" defTabSz="457200" rtl="0" fontAlgn="auto" latinLnBrk="0" hangingPunct="0">
          <a:lnSpc>
            <a:spcPct val="100000"/>
          </a:lnSpc>
          <a:spcBef>
            <a:spcPts val="400"/>
          </a:spcBef>
          <a:spcAft>
            <a:spcPts val="0"/>
          </a:spcAft>
          <a:buClrTx/>
          <a:buSzTx/>
          <a:buFontTx/>
          <a:buNone/>
          <a:tabLst/>
          <a:defRPr b="0" baseline="0" cap="none" i="0" spc="0" strike="noStrike" sz="1100" u="none" kumimoji="0" normalizeH="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